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8B875" w14:textId="274F1080" w:rsidR="002660B5" w:rsidRPr="007633AE" w:rsidRDefault="004E4DC5">
      <w:pPr>
        <w:rPr>
          <w:sz w:val="28"/>
          <w:szCs w:val="28"/>
        </w:rPr>
      </w:pPr>
      <w:r w:rsidRPr="007633AE">
        <w:rPr>
          <w:noProof/>
          <w:sz w:val="28"/>
          <w:szCs w:val="28"/>
        </w:rPr>
        <w:drawing>
          <wp:inline distT="0" distB="0" distL="0" distR="0" wp14:anchorId="029F9DDF" wp14:editId="15924433">
            <wp:extent cx="5943600" cy="334327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5943600" cy="3343275"/>
                    </a:xfrm>
                    <a:prstGeom prst="rect">
                      <a:avLst/>
                    </a:prstGeom>
                  </pic:spPr>
                </pic:pic>
              </a:graphicData>
            </a:graphic>
          </wp:inline>
        </w:drawing>
      </w:r>
    </w:p>
    <w:p w14:paraId="1F38CC47" w14:textId="42C13509" w:rsidR="004E4DC5" w:rsidRPr="007633AE" w:rsidRDefault="004E4DC5">
      <w:pPr>
        <w:rPr>
          <w:sz w:val="28"/>
          <w:szCs w:val="28"/>
        </w:rPr>
      </w:pPr>
      <w:r w:rsidRPr="007633AE">
        <w:rPr>
          <w:b/>
          <w:bCs/>
          <w:sz w:val="28"/>
          <w:szCs w:val="28"/>
        </w:rPr>
        <w:t>Takeaway</w:t>
      </w:r>
      <w:r w:rsidRPr="007633AE">
        <w:rPr>
          <w:sz w:val="28"/>
          <w:szCs w:val="28"/>
        </w:rPr>
        <w:t xml:space="preserve">: </w:t>
      </w:r>
      <w:r w:rsidRPr="007633AE">
        <w:rPr>
          <w:sz w:val="28"/>
          <w:szCs w:val="28"/>
        </w:rPr>
        <w:t>there is a “shock effect” of high TA influx or depletion to TA (1000) are not seen in individuals exposed to control TA levels (2000).</w:t>
      </w:r>
      <w:r w:rsidRPr="007633AE">
        <w:rPr>
          <w:sz w:val="28"/>
          <w:szCs w:val="28"/>
        </w:rPr>
        <w:t xml:space="preserve"> Individual growth rates are not yet responding to differences in TA.</w:t>
      </w:r>
    </w:p>
    <w:p w14:paraId="5C6398B7" w14:textId="65C6BBC1" w:rsidR="004E4DC5" w:rsidRDefault="004E4DC5">
      <w:pPr>
        <w:pBdr>
          <w:bottom w:val="single" w:sz="12" w:space="1" w:color="auto"/>
        </w:pBdr>
        <w:rPr>
          <w:sz w:val="28"/>
          <w:szCs w:val="28"/>
        </w:rPr>
      </w:pPr>
      <w:r w:rsidRPr="007633AE">
        <w:rPr>
          <w:b/>
          <w:bCs/>
          <w:sz w:val="28"/>
          <w:szCs w:val="28"/>
        </w:rPr>
        <w:t>Evidence</w:t>
      </w:r>
      <w:r w:rsidRPr="007633AE">
        <w:rPr>
          <w:sz w:val="28"/>
          <w:szCs w:val="28"/>
        </w:rPr>
        <w:t>/</w:t>
      </w:r>
      <w:r w:rsidRPr="007633AE">
        <w:rPr>
          <w:b/>
          <w:bCs/>
          <w:sz w:val="28"/>
          <w:szCs w:val="28"/>
        </w:rPr>
        <w:t>Observation</w:t>
      </w:r>
      <w:r w:rsidRPr="007633AE">
        <w:rPr>
          <w:sz w:val="28"/>
          <w:szCs w:val="28"/>
        </w:rPr>
        <w:t xml:space="preserve">: </w:t>
      </w:r>
      <w:r w:rsidRPr="007633AE">
        <w:rPr>
          <w:sz w:val="28"/>
          <w:szCs w:val="28"/>
        </w:rPr>
        <w:t>Mean ratio between treatments and size groups appear similar and are centered around 1.0 (</w:t>
      </w:r>
      <w:proofErr w:type="spellStart"/>
      <w:proofErr w:type="gramStart"/>
      <w:r w:rsidRPr="007633AE">
        <w:rPr>
          <w:sz w:val="28"/>
          <w:szCs w:val="28"/>
        </w:rPr>
        <w:t>ie</w:t>
      </w:r>
      <w:proofErr w:type="spellEnd"/>
      <w:proofErr w:type="gramEnd"/>
      <w:r w:rsidRPr="007633AE">
        <w:rPr>
          <w:sz w:val="28"/>
          <w:szCs w:val="28"/>
        </w:rPr>
        <w:t xml:space="preserve"> no overall growth), however, the distribution widths of the low TA and high TA are much wider, meaning outliers are less frequent than in mid TA treatment.</w:t>
      </w:r>
    </w:p>
    <w:p w14:paraId="141DD852" w14:textId="77777777" w:rsidR="005C36C5" w:rsidRDefault="005C36C5">
      <w:pPr>
        <w:pBdr>
          <w:bottom w:val="single" w:sz="12" w:space="1" w:color="auto"/>
        </w:pBdr>
        <w:rPr>
          <w:sz w:val="28"/>
          <w:szCs w:val="28"/>
        </w:rPr>
      </w:pPr>
    </w:p>
    <w:p w14:paraId="1492D158" w14:textId="413ADCE5" w:rsidR="004E4DC5" w:rsidRPr="007633AE" w:rsidRDefault="004E4DC5">
      <w:pPr>
        <w:rPr>
          <w:sz w:val="28"/>
          <w:szCs w:val="28"/>
        </w:rPr>
      </w:pPr>
      <w:r w:rsidRPr="007633AE">
        <w:rPr>
          <w:noProof/>
          <w:sz w:val="28"/>
          <w:szCs w:val="28"/>
        </w:rPr>
        <w:drawing>
          <wp:inline distT="0" distB="0" distL="0" distR="0" wp14:anchorId="60F3390F" wp14:editId="45A27C72">
            <wp:extent cx="5943600" cy="3343275"/>
            <wp:effectExtent l="0" t="0" r="0" b="952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5943600" cy="3343275"/>
                    </a:xfrm>
                    <a:prstGeom prst="rect">
                      <a:avLst/>
                    </a:prstGeom>
                  </pic:spPr>
                </pic:pic>
              </a:graphicData>
            </a:graphic>
          </wp:inline>
        </w:drawing>
      </w:r>
    </w:p>
    <w:p w14:paraId="42DCEEC3" w14:textId="02B5E933" w:rsidR="004E4DC5" w:rsidRPr="007633AE" w:rsidRDefault="004E4DC5">
      <w:pPr>
        <w:rPr>
          <w:sz w:val="28"/>
          <w:szCs w:val="28"/>
        </w:rPr>
      </w:pPr>
      <w:r w:rsidRPr="005C36C5">
        <w:rPr>
          <w:b/>
          <w:bCs/>
          <w:sz w:val="28"/>
          <w:szCs w:val="28"/>
        </w:rPr>
        <w:lastRenderedPageBreak/>
        <w:t>Takeaway</w:t>
      </w:r>
      <w:r w:rsidRPr="007633AE">
        <w:rPr>
          <w:sz w:val="28"/>
          <w:szCs w:val="28"/>
        </w:rPr>
        <w:t xml:space="preserve">: </w:t>
      </w:r>
      <w:r w:rsidRPr="007633AE">
        <w:rPr>
          <w:sz w:val="28"/>
          <w:szCs w:val="28"/>
        </w:rPr>
        <w:t>after two weeks, individuals have acclimated to each of the TA treatments, such that, there is no difference in growth ratio among the three TA levels. There are hints of differentiation in growth rate by TA treatment, though not significantly different.</w:t>
      </w:r>
    </w:p>
    <w:p w14:paraId="67C6702C" w14:textId="58008945" w:rsidR="004E4DC5" w:rsidRDefault="004E4DC5">
      <w:pPr>
        <w:pBdr>
          <w:bottom w:val="single" w:sz="12" w:space="1" w:color="auto"/>
        </w:pBdr>
        <w:rPr>
          <w:sz w:val="28"/>
          <w:szCs w:val="28"/>
        </w:rPr>
      </w:pPr>
      <w:r w:rsidRPr="005C36C5">
        <w:rPr>
          <w:b/>
          <w:bCs/>
          <w:sz w:val="28"/>
          <w:szCs w:val="28"/>
        </w:rPr>
        <w:t>Evidence</w:t>
      </w:r>
      <w:r w:rsidRPr="007633AE">
        <w:rPr>
          <w:sz w:val="28"/>
          <w:szCs w:val="28"/>
        </w:rPr>
        <w:t>/</w:t>
      </w:r>
      <w:r w:rsidRPr="005C36C5">
        <w:rPr>
          <w:b/>
          <w:bCs/>
          <w:sz w:val="28"/>
          <w:szCs w:val="28"/>
        </w:rPr>
        <w:t>Observation</w:t>
      </w:r>
      <w:r w:rsidRPr="007633AE">
        <w:rPr>
          <w:sz w:val="28"/>
          <w:szCs w:val="28"/>
        </w:rPr>
        <w:t xml:space="preserve">: </w:t>
      </w:r>
      <w:r w:rsidRPr="007633AE">
        <w:rPr>
          <w:sz w:val="28"/>
          <w:szCs w:val="28"/>
        </w:rPr>
        <w:t>After two weeks, the distribution widths appear converge into a similar distribution among the TA treatments.</w:t>
      </w:r>
      <w:r w:rsidRPr="007633AE">
        <w:rPr>
          <w:sz w:val="28"/>
          <w:szCs w:val="28"/>
        </w:rPr>
        <w:t xml:space="preserve"> </w:t>
      </w:r>
      <w:r w:rsidRPr="007633AE">
        <w:rPr>
          <w:sz w:val="28"/>
          <w:szCs w:val="28"/>
        </w:rPr>
        <w:t xml:space="preserve">This suggests that after 2 </w:t>
      </w:r>
      <w:proofErr w:type="spellStart"/>
      <w:r w:rsidRPr="007633AE">
        <w:rPr>
          <w:sz w:val="28"/>
          <w:szCs w:val="28"/>
        </w:rPr>
        <w:t>weeks time</w:t>
      </w:r>
      <w:proofErr w:type="spellEnd"/>
      <w:r w:rsidRPr="007633AE">
        <w:rPr>
          <w:sz w:val="28"/>
          <w:szCs w:val="28"/>
        </w:rPr>
        <w:t>, the effect of increasing/decreasing TA has similar variability with a group of oysters, shock to treatment has finished. Mean growth ratio is also minorly shifted to the right, indicating that on average, net growth has occurred since week 1, though there are individuals from each treatment that showed reductions in size (</w:t>
      </w:r>
      <w:proofErr w:type="spellStart"/>
      <w:proofErr w:type="gramStart"/>
      <w:r w:rsidRPr="007633AE">
        <w:rPr>
          <w:sz w:val="28"/>
          <w:szCs w:val="28"/>
        </w:rPr>
        <w:t>ie</w:t>
      </w:r>
      <w:proofErr w:type="spellEnd"/>
      <w:proofErr w:type="gramEnd"/>
      <w:r w:rsidRPr="007633AE">
        <w:rPr>
          <w:sz w:val="28"/>
          <w:szCs w:val="28"/>
        </w:rPr>
        <w:t xml:space="preserve"> net dissolution).</w:t>
      </w:r>
    </w:p>
    <w:p w14:paraId="279F00D9" w14:textId="77777777" w:rsidR="005C36C5" w:rsidRDefault="005C36C5">
      <w:pPr>
        <w:pBdr>
          <w:bottom w:val="single" w:sz="12" w:space="1" w:color="auto"/>
        </w:pBdr>
        <w:rPr>
          <w:sz w:val="28"/>
          <w:szCs w:val="28"/>
        </w:rPr>
      </w:pPr>
    </w:p>
    <w:p w14:paraId="316B72F0" w14:textId="06811C88" w:rsidR="004E4DC5" w:rsidRPr="007633AE" w:rsidRDefault="004E4DC5">
      <w:pPr>
        <w:rPr>
          <w:sz w:val="28"/>
          <w:szCs w:val="28"/>
        </w:rPr>
      </w:pPr>
      <w:r w:rsidRPr="007633AE">
        <w:rPr>
          <w:noProof/>
          <w:sz w:val="28"/>
          <w:szCs w:val="28"/>
        </w:rPr>
        <w:drawing>
          <wp:inline distT="0" distB="0" distL="0" distR="0" wp14:anchorId="22303C63" wp14:editId="2361BB11">
            <wp:extent cx="5943600" cy="3343275"/>
            <wp:effectExtent l="0" t="0" r="0"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3343275"/>
                    </a:xfrm>
                    <a:prstGeom prst="rect">
                      <a:avLst/>
                    </a:prstGeom>
                  </pic:spPr>
                </pic:pic>
              </a:graphicData>
            </a:graphic>
          </wp:inline>
        </w:drawing>
      </w:r>
    </w:p>
    <w:p w14:paraId="4B2CD88A" w14:textId="2EDA915E" w:rsidR="004E4DC5" w:rsidRPr="007633AE" w:rsidRDefault="004E4DC5" w:rsidP="004E4DC5">
      <w:pPr>
        <w:rPr>
          <w:sz w:val="28"/>
          <w:szCs w:val="28"/>
        </w:rPr>
      </w:pPr>
      <w:r w:rsidRPr="005C36C5">
        <w:rPr>
          <w:b/>
          <w:bCs/>
          <w:sz w:val="28"/>
          <w:szCs w:val="28"/>
        </w:rPr>
        <w:t>Takeaway</w:t>
      </w:r>
      <w:r w:rsidRPr="007633AE">
        <w:rPr>
          <w:sz w:val="28"/>
          <w:szCs w:val="28"/>
        </w:rPr>
        <w:t>: individuals grown in high Salinity environments may show more variability to initial changing carbonate chemistry, but that shock does not propagate into average growth rates by the time they are acclimated</w:t>
      </w:r>
      <w:r w:rsidRPr="007633AE">
        <w:rPr>
          <w:sz w:val="28"/>
          <w:szCs w:val="28"/>
        </w:rPr>
        <w:t xml:space="preserve">. </w:t>
      </w:r>
      <w:r w:rsidRPr="007633AE">
        <w:rPr>
          <w:sz w:val="28"/>
          <w:szCs w:val="28"/>
        </w:rPr>
        <w:t>However, individual growth rate variability increases post acclimation over time</w:t>
      </w:r>
      <w:r w:rsidRPr="007633AE">
        <w:rPr>
          <w:sz w:val="28"/>
          <w:szCs w:val="28"/>
        </w:rPr>
        <w:t xml:space="preserve">… why could that be? </w:t>
      </w:r>
    </w:p>
    <w:p w14:paraId="127C1481" w14:textId="19F04413" w:rsidR="004E4DC5" w:rsidRDefault="004E4DC5" w:rsidP="004E4DC5">
      <w:pPr>
        <w:pBdr>
          <w:bottom w:val="single" w:sz="12" w:space="1" w:color="auto"/>
        </w:pBdr>
        <w:rPr>
          <w:sz w:val="28"/>
          <w:szCs w:val="28"/>
        </w:rPr>
      </w:pPr>
      <w:r w:rsidRPr="005C36C5">
        <w:rPr>
          <w:b/>
          <w:bCs/>
          <w:sz w:val="28"/>
          <w:szCs w:val="28"/>
        </w:rPr>
        <w:t>Evidence</w:t>
      </w:r>
      <w:r w:rsidRPr="007633AE">
        <w:rPr>
          <w:sz w:val="28"/>
          <w:szCs w:val="28"/>
        </w:rPr>
        <w:t>/</w:t>
      </w:r>
      <w:r w:rsidRPr="005C36C5">
        <w:rPr>
          <w:b/>
          <w:bCs/>
          <w:sz w:val="28"/>
          <w:szCs w:val="28"/>
        </w:rPr>
        <w:t>Observation</w:t>
      </w:r>
      <w:r w:rsidRPr="007633AE">
        <w:rPr>
          <w:sz w:val="28"/>
          <w:szCs w:val="28"/>
        </w:rPr>
        <w:t>: After five weeks, the distribution widths in the high and low TA treatments are much flatter, meaning that overall, changing the TA treatment has higher consequences for the variability in response from individuals than in ambient level TA</w:t>
      </w:r>
      <w:r w:rsidRPr="007633AE">
        <w:rPr>
          <w:sz w:val="28"/>
          <w:szCs w:val="28"/>
        </w:rPr>
        <w:t xml:space="preserve">. </w:t>
      </w:r>
      <w:r w:rsidRPr="007633AE">
        <w:rPr>
          <w:sz w:val="28"/>
          <w:szCs w:val="28"/>
        </w:rPr>
        <w:t>On average, at high salinity, the effect of TA does not seem to be strong after 5 weeks of growing, but as the mean value is shifted to the right, individuals did indeed grow.</w:t>
      </w:r>
    </w:p>
    <w:p w14:paraId="31704C11" w14:textId="77777777" w:rsidR="005C36C5" w:rsidRDefault="005C36C5" w:rsidP="004E4DC5">
      <w:pPr>
        <w:pBdr>
          <w:bottom w:val="single" w:sz="12" w:space="1" w:color="auto"/>
        </w:pBdr>
        <w:rPr>
          <w:sz w:val="28"/>
          <w:szCs w:val="28"/>
        </w:rPr>
      </w:pPr>
    </w:p>
    <w:p w14:paraId="444FB26B" w14:textId="0FF86C78" w:rsidR="004E4DC5" w:rsidRPr="007633AE" w:rsidRDefault="00F11410">
      <w:pPr>
        <w:rPr>
          <w:sz w:val="28"/>
          <w:szCs w:val="28"/>
        </w:rPr>
      </w:pPr>
      <w:r w:rsidRPr="007633AE">
        <w:rPr>
          <w:noProof/>
          <w:sz w:val="28"/>
          <w:szCs w:val="28"/>
        </w:rPr>
        <w:lastRenderedPageBreak/>
        <w:drawing>
          <wp:inline distT="0" distB="0" distL="0" distR="0" wp14:anchorId="4865EE24" wp14:editId="681FF485">
            <wp:extent cx="5943600" cy="3343275"/>
            <wp:effectExtent l="0" t="0" r="0" b="952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343275"/>
                    </a:xfrm>
                    <a:prstGeom prst="rect">
                      <a:avLst/>
                    </a:prstGeom>
                  </pic:spPr>
                </pic:pic>
              </a:graphicData>
            </a:graphic>
          </wp:inline>
        </w:drawing>
      </w:r>
    </w:p>
    <w:p w14:paraId="5E7C01E2" w14:textId="1E9E2173" w:rsidR="004E4DC5" w:rsidRPr="007633AE" w:rsidRDefault="004E4DC5" w:rsidP="004E4DC5">
      <w:pPr>
        <w:rPr>
          <w:sz w:val="28"/>
          <w:szCs w:val="28"/>
        </w:rPr>
      </w:pPr>
      <w:r w:rsidRPr="005C36C5">
        <w:rPr>
          <w:b/>
          <w:bCs/>
          <w:sz w:val="28"/>
          <w:szCs w:val="28"/>
        </w:rPr>
        <w:t>Takeaway</w:t>
      </w:r>
      <w:r w:rsidRPr="007633AE">
        <w:rPr>
          <w:sz w:val="28"/>
          <w:szCs w:val="28"/>
        </w:rPr>
        <w:t xml:space="preserve">: </w:t>
      </w:r>
      <w:r w:rsidR="00385475" w:rsidRPr="007633AE">
        <w:rPr>
          <w:sz w:val="28"/>
          <w:szCs w:val="28"/>
        </w:rPr>
        <w:t xml:space="preserve">the “shock effect” of altered TA (and a combined low S shock) similarly impacts </w:t>
      </w:r>
      <w:proofErr w:type="gramStart"/>
      <w:r w:rsidR="00385475" w:rsidRPr="007633AE">
        <w:rPr>
          <w:sz w:val="28"/>
          <w:szCs w:val="28"/>
        </w:rPr>
        <w:t>individuals, or</w:t>
      </w:r>
      <w:proofErr w:type="gramEnd"/>
      <w:r w:rsidR="00385475" w:rsidRPr="007633AE">
        <w:rPr>
          <w:sz w:val="28"/>
          <w:szCs w:val="28"/>
        </w:rPr>
        <w:t xml:space="preserve"> did not occur at all (unlikely since we see shock in </w:t>
      </w:r>
      <w:proofErr w:type="spellStart"/>
      <w:r w:rsidR="00385475" w:rsidRPr="007633AE">
        <w:rPr>
          <w:sz w:val="28"/>
          <w:szCs w:val="28"/>
        </w:rPr>
        <w:t>amb</w:t>
      </w:r>
      <w:proofErr w:type="spellEnd"/>
      <w:r w:rsidR="00385475" w:rsidRPr="007633AE">
        <w:rPr>
          <w:sz w:val="28"/>
          <w:szCs w:val="28"/>
        </w:rPr>
        <w:t xml:space="preserve"> S treatments).</w:t>
      </w:r>
    </w:p>
    <w:p w14:paraId="566118C3" w14:textId="3C2306BC" w:rsidR="004E4DC5" w:rsidRDefault="004E4DC5" w:rsidP="004E4DC5">
      <w:pPr>
        <w:pBdr>
          <w:bottom w:val="single" w:sz="12" w:space="1" w:color="auto"/>
        </w:pBdr>
        <w:rPr>
          <w:sz w:val="28"/>
          <w:szCs w:val="28"/>
        </w:rPr>
      </w:pPr>
      <w:r w:rsidRPr="005C36C5">
        <w:rPr>
          <w:b/>
          <w:bCs/>
          <w:sz w:val="28"/>
          <w:szCs w:val="28"/>
        </w:rPr>
        <w:t>Evidence</w:t>
      </w:r>
      <w:r w:rsidRPr="007633AE">
        <w:rPr>
          <w:sz w:val="28"/>
          <w:szCs w:val="28"/>
        </w:rPr>
        <w:t>/</w:t>
      </w:r>
      <w:r w:rsidRPr="005C36C5">
        <w:rPr>
          <w:b/>
          <w:bCs/>
          <w:sz w:val="28"/>
          <w:szCs w:val="28"/>
        </w:rPr>
        <w:t>Observation</w:t>
      </w:r>
      <w:r w:rsidRPr="007633AE">
        <w:rPr>
          <w:sz w:val="28"/>
          <w:szCs w:val="28"/>
        </w:rPr>
        <w:t xml:space="preserve">: </w:t>
      </w:r>
      <w:r w:rsidR="00F11410" w:rsidRPr="007633AE">
        <w:rPr>
          <w:sz w:val="28"/>
          <w:szCs w:val="28"/>
        </w:rPr>
        <w:t>Mean ratio between treatments and size groups appear similar and are centered around 1.0 (</w:t>
      </w:r>
      <w:proofErr w:type="spellStart"/>
      <w:proofErr w:type="gramStart"/>
      <w:r w:rsidR="00F11410" w:rsidRPr="007633AE">
        <w:rPr>
          <w:sz w:val="28"/>
          <w:szCs w:val="28"/>
        </w:rPr>
        <w:t>ie</w:t>
      </w:r>
      <w:proofErr w:type="spellEnd"/>
      <w:proofErr w:type="gramEnd"/>
      <w:r w:rsidR="00F11410" w:rsidRPr="007633AE">
        <w:rPr>
          <w:sz w:val="28"/>
          <w:szCs w:val="28"/>
        </w:rPr>
        <w:t xml:space="preserve"> no overall growth), and variability among individuals within a treatment is also similar.</w:t>
      </w:r>
    </w:p>
    <w:p w14:paraId="26C63CFB" w14:textId="77777777" w:rsidR="005C36C5" w:rsidRDefault="005C36C5" w:rsidP="004E4DC5">
      <w:pPr>
        <w:pBdr>
          <w:bottom w:val="single" w:sz="12" w:space="1" w:color="auto"/>
        </w:pBdr>
        <w:rPr>
          <w:sz w:val="28"/>
          <w:szCs w:val="28"/>
        </w:rPr>
      </w:pPr>
    </w:p>
    <w:p w14:paraId="215A0386" w14:textId="59A081C8" w:rsidR="004E4DC5" w:rsidRPr="007633AE" w:rsidRDefault="00B2454D">
      <w:pPr>
        <w:rPr>
          <w:sz w:val="28"/>
          <w:szCs w:val="28"/>
        </w:rPr>
      </w:pPr>
      <w:r w:rsidRPr="007633AE">
        <w:rPr>
          <w:noProof/>
          <w:sz w:val="28"/>
          <w:szCs w:val="28"/>
        </w:rPr>
        <w:drawing>
          <wp:inline distT="0" distB="0" distL="0" distR="0" wp14:anchorId="6BA6B350" wp14:editId="7A8201E9">
            <wp:extent cx="5943600" cy="3343275"/>
            <wp:effectExtent l="0" t="0" r="0" b="952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3343275"/>
                    </a:xfrm>
                    <a:prstGeom prst="rect">
                      <a:avLst/>
                    </a:prstGeom>
                  </pic:spPr>
                </pic:pic>
              </a:graphicData>
            </a:graphic>
          </wp:inline>
        </w:drawing>
      </w:r>
    </w:p>
    <w:p w14:paraId="6EA92BA8" w14:textId="47CE2EE8" w:rsidR="004E4DC5" w:rsidRPr="007633AE" w:rsidRDefault="004E4DC5" w:rsidP="004E4DC5">
      <w:pPr>
        <w:rPr>
          <w:sz w:val="28"/>
          <w:szCs w:val="28"/>
        </w:rPr>
      </w:pPr>
      <w:r w:rsidRPr="005C36C5">
        <w:rPr>
          <w:b/>
          <w:bCs/>
          <w:sz w:val="28"/>
          <w:szCs w:val="28"/>
        </w:rPr>
        <w:lastRenderedPageBreak/>
        <w:t>Takeaway</w:t>
      </w:r>
      <w:r w:rsidRPr="007633AE">
        <w:rPr>
          <w:sz w:val="28"/>
          <w:szCs w:val="28"/>
        </w:rPr>
        <w:t xml:space="preserve">: </w:t>
      </w:r>
      <w:r w:rsidR="006A1CD5" w:rsidRPr="007633AE">
        <w:rPr>
          <w:sz w:val="28"/>
          <w:szCs w:val="28"/>
        </w:rPr>
        <w:t xml:space="preserve">relative to </w:t>
      </w:r>
      <w:proofErr w:type="gramStart"/>
      <w:r w:rsidR="006A1CD5" w:rsidRPr="007633AE">
        <w:rPr>
          <w:sz w:val="28"/>
          <w:szCs w:val="28"/>
        </w:rPr>
        <w:t>1 week</w:t>
      </w:r>
      <w:proofErr w:type="gramEnd"/>
      <w:r w:rsidR="006A1CD5" w:rsidRPr="007633AE">
        <w:rPr>
          <w:sz w:val="28"/>
          <w:szCs w:val="28"/>
        </w:rPr>
        <w:t xml:space="preserve"> patterns, individuals are not acclimating to changing TA in the same way under low S conditions. This may include having a stronger initial shock, and then a secondary shock propagating after one week.</w:t>
      </w:r>
    </w:p>
    <w:p w14:paraId="6AFCB740" w14:textId="1E1E2521" w:rsidR="004E4DC5" w:rsidRDefault="004E4DC5" w:rsidP="004E4DC5">
      <w:pPr>
        <w:pBdr>
          <w:bottom w:val="single" w:sz="12" w:space="1" w:color="auto"/>
        </w:pBdr>
        <w:rPr>
          <w:sz w:val="28"/>
          <w:szCs w:val="28"/>
        </w:rPr>
      </w:pPr>
      <w:r w:rsidRPr="005C36C5">
        <w:rPr>
          <w:b/>
          <w:bCs/>
          <w:sz w:val="28"/>
          <w:szCs w:val="28"/>
        </w:rPr>
        <w:t>Evidence</w:t>
      </w:r>
      <w:r w:rsidRPr="007633AE">
        <w:rPr>
          <w:sz w:val="28"/>
          <w:szCs w:val="28"/>
        </w:rPr>
        <w:t>/</w:t>
      </w:r>
      <w:r w:rsidRPr="005C36C5">
        <w:rPr>
          <w:b/>
          <w:bCs/>
          <w:sz w:val="28"/>
          <w:szCs w:val="28"/>
        </w:rPr>
        <w:t>Observation</w:t>
      </w:r>
      <w:r w:rsidRPr="007633AE">
        <w:rPr>
          <w:sz w:val="28"/>
          <w:szCs w:val="28"/>
        </w:rPr>
        <w:t xml:space="preserve">: </w:t>
      </w:r>
      <w:r w:rsidR="00B2454D" w:rsidRPr="007633AE">
        <w:rPr>
          <w:sz w:val="28"/>
          <w:szCs w:val="28"/>
        </w:rPr>
        <w:t>After two weeks, the distribution widths appear to widen for the high TA treatment but remain similar in low and ambient TA conditions, meaning that the frequency of growth outliers is higher in low and ambient TA.</w:t>
      </w:r>
      <w:r w:rsidR="00175752" w:rsidRPr="007633AE">
        <w:rPr>
          <w:sz w:val="28"/>
          <w:szCs w:val="28"/>
        </w:rPr>
        <w:t xml:space="preserve"> </w:t>
      </w:r>
      <w:r w:rsidR="00175752" w:rsidRPr="007633AE">
        <w:rPr>
          <w:sz w:val="28"/>
          <w:szCs w:val="28"/>
        </w:rPr>
        <w:t>Mean growth may subtly be shifted to the right between low and high TA, however, ambient TA doesn’t appear to differ from either</w:t>
      </w:r>
      <w:proofErr w:type="gramStart"/>
      <w:r w:rsidR="00175752" w:rsidRPr="007633AE">
        <w:rPr>
          <w:sz w:val="28"/>
          <w:szCs w:val="28"/>
        </w:rPr>
        <w:t>.</w:t>
      </w:r>
      <w:r w:rsidR="00FC2B01" w:rsidRPr="007633AE">
        <w:rPr>
          <w:sz w:val="28"/>
          <w:szCs w:val="28"/>
        </w:rPr>
        <w:t xml:space="preserve"> </w:t>
      </w:r>
      <w:r w:rsidR="00FC2B01" w:rsidRPr="007633AE">
        <w:rPr>
          <w:sz w:val="28"/>
          <w:szCs w:val="28"/>
        </w:rPr>
        <w:t>.</w:t>
      </w:r>
      <w:proofErr w:type="gramEnd"/>
      <w:r w:rsidR="00FC2B01" w:rsidRPr="007633AE">
        <w:rPr>
          <w:sz w:val="28"/>
          <w:szCs w:val="28"/>
        </w:rPr>
        <w:t xml:space="preserve"> Low and high TA exposed individuals have higher variability in growth relative to mid TA.</w:t>
      </w:r>
    </w:p>
    <w:p w14:paraId="05832275" w14:textId="77777777" w:rsidR="005C36C5" w:rsidRDefault="005C36C5" w:rsidP="004E4DC5">
      <w:pPr>
        <w:pBdr>
          <w:bottom w:val="single" w:sz="12" w:space="1" w:color="auto"/>
        </w:pBdr>
        <w:rPr>
          <w:sz w:val="28"/>
          <w:szCs w:val="28"/>
        </w:rPr>
      </w:pPr>
    </w:p>
    <w:p w14:paraId="6DBBDEF7" w14:textId="13682F4A" w:rsidR="006B35AA" w:rsidRPr="007633AE" w:rsidRDefault="006B35AA" w:rsidP="004E4DC5">
      <w:pPr>
        <w:rPr>
          <w:sz w:val="28"/>
          <w:szCs w:val="28"/>
        </w:rPr>
      </w:pPr>
      <w:r w:rsidRPr="007633AE">
        <w:rPr>
          <w:noProof/>
          <w:sz w:val="28"/>
          <w:szCs w:val="28"/>
        </w:rPr>
        <w:drawing>
          <wp:inline distT="0" distB="0" distL="0" distR="0" wp14:anchorId="1EEADABD" wp14:editId="6EA598E4">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3343275"/>
                    </a:xfrm>
                    <a:prstGeom prst="rect">
                      <a:avLst/>
                    </a:prstGeom>
                  </pic:spPr>
                </pic:pic>
              </a:graphicData>
            </a:graphic>
          </wp:inline>
        </w:drawing>
      </w:r>
    </w:p>
    <w:p w14:paraId="63FAC377" w14:textId="3A843D28" w:rsidR="00F42AC8" w:rsidRPr="007633AE" w:rsidRDefault="00F42AC8" w:rsidP="00F42AC8">
      <w:pPr>
        <w:rPr>
          <w:sz w:val="28"/>
          <w:szCs w:val="28"/>
        </w:rPr>
      </w:pPr>
      <w:r w:rsidRPr="005C36C5">
        <w:rPr>
          <w:b/>
          <w:bCs/>
          <w:sz w:val="28"/>
          <w:szCs w:val="28"/>
        </w:rPr>
        <w:t>Takeaway</w:t>
      </w:r>
      <w:r w:rsidRPr="007633AE">
        <w:rPr>
          <w:sz w:val="28"/>
          <w:szCs w:val="28"/>
        </w:rPr>
        <w:t xml:space="preserve">: </w:t>
      </w:r>
      <w:r w:rsidR="00613D14" w:rsidRPr="007633AE">
        <w:rPr>
          <w:sz w:val="28"/>
          <w:szCs w:val="28"/>
        </w:rPr>
        <w:t xml:space="preserve">relative to the two lower TA treatments, the acclimation to high TA results on an average growth rate increase (relative to the other two), but that </w:t>
      </w:r>
      <w:r w:rsidR="00613D14" w:rsidRPr="007633AE">
        <w:rPr>
          <w:sz w:val="28"/>
          <w:szCs w:val="28"/>
        </w:rPr>
        <w:t>there will be a larger variation in the growth rates of individual oysters.</w:t>
      </w:r>
    </w:p>
    <w:p w14:paraId="262989E5" w14:textId="12CD9037" w:rsidR="00F42AC8" w:rsidRDefault="00F42AC8" w:rsidP="00F42AC8">
      <w:pPr>
        <w:pBdr>
          <w:bottom w:val="single" w:sz="12" w:space="1" w:color="auto"/>
        </w:pBdr>
        <w:rPr>
          <w:sz w:val="28"/>
          <w:szCs w:val="28"/>
        </w:rPr>
      </w:pPr>
      <w:r w:rsidRPr="005C36C5">
        <w:rPr>
          <w:b/>
          <w:bCs/>
          <w:sz w:val="28"/>
          <w:szCs w:val="28"/>
        </w:rPr>
        <w:t>Evidence</w:t>
      </w:r>
      <w:r w:rsidRPr="007633AE">
        <w:rPr>
          <w:sz w:val="28"/>
          <w:szCs w:val="28"/>
        </w:rPr>
        <w:t>/</w:t>
      </w:r>
      <w:r w:rsidRPr="005C36C5">
        <w:rPr>
          <w:b/>
          <w:bCs/>
          <w:sz w:val="28"/>
          <w:szCs w:val="28"/>
        </w:rPr>
        <w:t>Observation</w:t>
      </w:r>
      <w:r w:rsidRPr="007633AE">
        <w:rPr>
          <w:sz w:val="28"/>
          <w:szCs w:val="28"/>
        </w:rPr>
        <w:t xml:space="preserve">: </w:t>
      </w:r>
      <w:r w:rsidR="00613D14" w:rsidRPr="007633AE">
        <w:rPr>
          <w:sz w:val="28"/>
          <w:szCs w:val="28"/>
        </w:rPr>
        <w:t>After 5 weeks of growth, the distribution widths from the acclimation point narrow for low and moderate TA treatments but remain wide in high TA treatment. This suggests low and mid TA exposed individuals converge on a similar, consistent growth rate.</w:t>
      </w:r>
      <w:r w:rsidR="00613D14" w:rsidRPr="007633AE">
        <w:rPr>
          <w:sz w:val="28"/>
          <w:szCs w:val="28"/>
        </w:rPr>
        <w:t xml:space="preserve"> </w:t>
      </w:r>
      <w:r w:rsidR="00613D14" w:rsidRPr="007633AE">
        <w:rPr>
          <w:sz w:val="28"/>
          <w:szCs w:val="28"/>
        </w:rPr>
        <w:t>High TA treatments show a right-shifted (</w:t>
      </w:r>
      <w:proofErr w:type="spellStart"/>
      <w:proofErr w:type="gramStart"/>
      <w:r w:rsidR="00613D14" w:rsidRPr="007633AE">
        <w:rPr>
          <w:sz w:val="28"/>
          <w:szCs w:val="28"/>
        </w:rPr>
        <w:t>ie</w:t>
      </w:r>
      <w:proofErr w:type="spellEnd"/>
      <w:proofErr w:type="gramEnd"/>
      <w:r w:rsidR="00613D14" w:rsidRPr="007633AE">
        <w:rPr>
          <w:sz w:val="28"/>
          <w:szCs w:val="28"/>
        </w:rPr>
        <w:t xml:space="preserve"> increased growth ratio) and an even more flattened distribution.</w:t>
      </w:r>
    </w:p>
    <w:p w14:paraId="732239D0" w14:textId="77777777" w:rsidR="005C36C5" w:rsidRDefault="005C36C5" w:rsidP="00F42AC8">
      <w:pPr>
        <w:pBdr>
          <w:bottom w:val="single" w:sz="12" w:space="1" w:color="auto"/>
        </w:pBdr>
        <w:rPr>
          <w:sz w:val="28"/>
          <w:szCs w:val="28"/>
        </w:rPr>
      </w:pPr>
    </w:p>
    <w:p w14:paraId="35AE4645" w14:textId="15FDCCE3" w:rsidR="004E4DC5" w:rsidRPr="007633AE" w:rsidRDefault="00EF6548">
      <w:pPr>
        <w:rPr>
          <w:sz w:val="28"/>
          <w:szCs w:val="28"/>
        </w:rPr>
      </w:pPr>
      <w:r w:rsidRPr="007633AE">
        <w:rPr>
          <w:noProof/>
          <w:sz w:val="28"/>
          <w:szCs w:val="28"/>
        </w:rPr>
        <w:lastRenderedPageBreak/>
        <w:drawing>
          <wp:inline distT="0" distB="0" distL="0" distR="0" wp14:anchorId="44A9CDDF" wp14:editId="78FC288F">
            <wp:extent cx="5943600" cy="334327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3343275"/>
                    </a:xfrm>
                    <a:prstGeom prst="rect">
                      <a:avLst/>
                    </a:prstGeom>
                  </pic:spPr>
                </pic:pic>
              </a:graphicData>
            </a:graphic>
          </wp:inline>
        </w:drawing>
      </w:r>
    </w:p>
    <w:p w14:paraId="4A76E936" w14:textId="0F0A5C84" w:rsidR="00F42AC8" w:rsidRPr="007633AE" w:rsidRDefault="00F42AC8" w:rsidP="00F42AC8">
      <w:pPr>
        <w:rPr>
          <w:sz w:val="28"/>
          <w:szCs w:val="28"/>
        </w:rPr>
      </w:pPr>
      <w:r w:rsidRPr="005C36C5">
        <w:rPr>
          <w:b/>
          <w:bCs/>
          <w:sz w:val="28"/>
          <w:szCs w:val="28"/>
        </w:rPr>
        <w:t>Takeaway</w:t>
      </w:r>
      <w:r w:rsidRPr="007633AE">
        <w:rPr>
          <w:sz w:val="28"/>
          <w:szCs w:val="28"/>
        </w:rPr>
        <w:t xml:space="preserve">: </w:t>
      </w:r>
      <w:r w:rsidR="00EF6548" w:rsidRPr="007633AE">
        <w:rPr>
          <w:sz w:val="28"/>
          <w:szCs w:val="28"/>
        </w:rPr>
        <w:t>meaning negligible acclimation or small acclimation occurring over a longer period.</w:t>
      </w:r>
    </w:p>
    <w:p w14:paraId="4EDD9FE6" w14:textId="7802F634" w:rsidR="00F42AC8" w:rsidRDefault="00F42AC8" w:rsidP="00F42AC8">
      <w:pPr>
        <w:pBdr>
          <w:bottom w:val="single" w:sz="12" w:space="1" w:color="auto"/>
        </w:pBdr>
        <w:rPr>
          <w:sz w:val="28"/>
          <w:szCs w:val="28"/>
        </w:rPr>
      </w:pPr>
      <w:r w:rsidRPr="005C36C5">
        <w:rPr>
          <w:b/>
          <w:bCs/>
          <w:sz w:val="28"/>
          <w:szCs w:val="28"/>
        </w:rPr>
        <w:t>Evidence</w:t>
      </w:r>
      <w:r w:rsidRPr="007633AE">
        <w:rPr>
          <w:sz w:val="28"/>
          <w:szCs w:val="28"/>
        </w:rPr>
        <w:t xml:space="preserve">/Observation: </w:t>
      </w:r>
      <w:r w:rsidR="003C1871" w:rsidRPr="007633AE">
        <w:rPr>
          <w:sz w:val="28"/>
          <w:szCs w:val="28"/>
        </w:rPr>
        <w:t>all week lines overlap one another</w:t>
      </w:r>
    </w:p>
    <w:p w14:paraId="354A21E4" w14:textId="77777777" w:rsidR="005C36C5" w:rsidRDefault="005C36C5" w:rsidP="00F42AC8">
      <w:pPr>
        <w:pBdr>
          <w:bottom w:val="single" w:sz="12" w:space="1" w:color="auto"/>
        </w:pBdr>
        <w:rPr>
          <w:sz w:val="28"/>
          <w:szCs w:val="28"/>
        </w:rPr>
      </w:pPr>
    </w:p>
    <w:p w14:paraId="4DDF336E" w14:textId="74D8192C" w:rsidR="00F42AC8" w:rsidRPr="007633AE" w:rsidRDefault="00D27E58">
      <w:pPr>
        <w:rPr>
          <w:sz w:val="28"/>
          <w:szCs w:val="28"/>
        </w:rPr>
      </w:pPr>
      <w:r w:rsidRPr="007633AE">
        <w:rPr>
          <w:noProof/>
          <w:sz w:val="28"/>
          <w:szCs w:val="28"/>
        </w:rPr>
        <w:drawing>
          <wp:inline distT="0" distB="0" distL="0" distR="0" wp14:anchorId="214AA58C" wp14:editId="77308373">
            <wp:extent cx="5943600" cy="3343275"/>
            <wp:effectExtent l="0" t="0" r="0"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343275"/>
                    </a:xfrm>
                    <a:prstGeom prst="rect">
                      <a:avLst/>
                    </a:prstGeom>
                  </pic:spPr>
                </pic:pic>
              </a:graphicData>
            </a:graphic>
          </wp:inline>
        </w:drawing>
      </w:r>
    </w:p>
    <w:p w14:paraId="6F0F37B5" w14:textId="1B317D03" w:rsidR="00F42AC8" w:rsidRPr="007633AE" w:rsidRDefault="00F42AC8" w:rsidP="00F42AC8">
      <w:pPr>
        <w:rPr>
          <w:sz w:val="28"/>
          <w:szCs w:val="28"/>
        </w:rPr>
      </w:pPr>
      <w:r w:rsidRPr="005C36C5">
        <w:rPr>
          <w:b/>
          <w:bCs/>
          <w:sz w:val="28"/>
          <w:szCs w:val="28"/>
        </w:rPr>
        <w:t>Takeaway</w:t>
      </w:r>
      <w:r w:rsidRPr="007633AE">
        <w:rPr>
          <w:sz w:val="28"/>
          <w:szCs w:val="28"/>
        </w:rPr>
        <w:t xml:space="preserve">: </w:t>
      </w:r>
      <w:r w:rsidR="0042184F" w:rsidRPr="007633AE">
        <w:rPr>
          <w:sz w:val="28"/>
          <w:szCs w:val="28"/>
        </w:rPr>
        <w:t>Minimal acclimation, but acclimation was fast.</w:t>
      </w:r>
    </w:p>
    <w:p w14:paraId="35D91989" w14:textId="24AC1996" w:rsidR="00F42AC8" w:rsidRDefault="00F42AC8" w:rsidP="00F42AC8">
      <w:pPr>
        <w:pBdr>
          <w:bottom w:val="single" w:sz="12" w:space="1" w:color="auto"/>
        </w:pBdr>
        <w:rPr>
          <w:sz w:val="28"/>
          <w:szCs w:val="28"/>
        </w:rPr>
      </w:pPr>
      <w:r w:rsidRPr="005C36C5">
        <w:rPr>
          <w:b/>
          <w:bCs/>
          <w:sz w:val="28"/>
          <w:szCs w:val="28"/>
        </w:rPr>
        <w:t>Evidence</w:t>
      </w:r>
      <w:r w:rsidRPr="007633AE">
        <w:rPr>
          <w:sz w:val="28"/>
          <w:szCs w:val="28"/>
        </w:rPr>
        <w:t>/</w:t>
      </w:r>
      <w:r w:rsidRPr="005C36C5">
        <w:rPr>
          <w:b/>
          <w:bCs/>
          <w:sz w:val="28"/>
          <w:szCs w:val="28"/>
        </w:rPr>
        <w:t>Observation</w:t>
      </w:r>
      <w:r w:rsidRPr="007633AE">
        <w:rPr>
          <w:sz w:val="28"/>
          <w:szCs w:val="28"/>
        </w:rPr>
        <w:t xml:space="preserve">: </w:t>
      </w:r>
      <w:r w:rsidR="00D27E58" w:rsidRPr="007633AE">
        <w:rPr>
          <w:sz w:val="28"/>
          <w:szCs w:val="28"/>
        </w:rPr>
        <w:t xml:space="preserve">shift to the right between week 1 and week 2, fast </w:t>
      </w:r>
      <w:r w:rsidR="0042184F" w:rsidRPr="007633AE">
        <w:rPr>
          <w:sz w:val="28"/>
          <w:szCs w:val="28"/>
        </w:rPr>
        <w:t>acclimation. No difference between week 2 and week 5 meaning minimal acclimation.</w:t>
      </w:r>
    </w:p>
    <w:p w14:paraId="795E4A28" w14:textId="77777777" w:rsidR="005C36C5" w:rsidRDefault="005C36C5" w:rsidP="00F42AC8">
      <w:pPr>
        <w:pBdr>
          <w:bottom w:val="single" w:sz="12" w:space="1" w:color="auto"/>
        </w:pBdr>
        <w:rPr>
          <w:sz w:val="28"/>
          <w:szCs w:val="28"/>
        </w:rPr>
      </w:pPr>
    </w:p>
    <w:p w14:paraId="2AD72DF6" w14:textId="345C0148" w:rsidR="00F42AC8" w:rsidRPr="007633AE" w:rsidRDefault="00200A3F">
      <w:pPr>
        <w:rPr>
          <w:sz w:val="28"/>
          <w:szCs w:val="28"/>
        </w:rPr>
      </w:pPr>
      <w:r w:rsidRPr="007633AE">
        <w:rPr>
          <w:noProof/>
          <w:sz w:val="28"/>
          <w:szCs w:val="28"/>
        </w:rPr>
        <w:lastRenderedPageBreak/>
        <w:drawing>
          <wp:inline distT="0" distB="0" distL="0" distR="0" wp14:anchorId="48A9EA38" wp14:editId="01E5F7B6">
            <wp:extent cx="5943600" cy="3343275"/>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3343275"/>
                    </a:xfrm>
                    <a:prstGeom prst="rect">
                      <a:avLst/>
                    </a:prstGeom>
                  </pic:spPr>
                </pic:pic>
              </a:graphicData>
            </a:graphic>
          </wp:inline>
        </w:drawing>
      </w:r>
    </w:p>
    <w:p w14:paraId="439BE7B5" w14:textId="61061711" w:rsidR="00F42AC8" w:rsidRPr="007633AE" w:rsidRDefault="00F42AC8" w:rsidP="00F42AC8">
      <w:pPr>
        <w:rPr>
          <w:sz w:val="28"/>
          <w:szCs w:val="28"/>
        </w:rPr>
      </w:pPr>
      <w:r w:rsidRPr="005C36C5">
        <w:rPr>
          <w:b/>
          <w:bCs/>
          <w:sz w:val="28"/>
          <w:szCs w:val="28"/>
        </w:rPr>
        <w:t>Takeaway</w:t>
      </w:r>
      <w:r w:rsidRPr="007633AE">
        <w:rPr>
          <w:sz w:val="28"/>
          <w:szCs w:val="28"/>
        </w:rPr>
        <w:t xml:space="preserve">: </w:t>
      </w:r>
      <w:r w:rsidR="00AC5C7D" w:rsidRPr="007633AE">
        <w:rPr>
          <w:sz w:val="28"/>
          <w:szCs w:val="28"/>
        </w:rPr>
        <w:t xml:space="preserve">slow acclimation, </w:t>
      </w:r>
      <w:r w:rsidR="00486CDE" w:rsidRPr="007633AE">
        <w:rPr>
          <w:sz w:val="28"/>
          <w:szCs w:val="28"/>
        </w:rPr>
        <w:t>second largest increase in relative growth rates</w:t>
      </w:r>
    </w:p>
    <w:p w14:paraId="4F14DE99" w14:textId="314FE95A" w:rsidR="00F42AC8" w:rsidRDefault="00F42AC8" w:rsidP="00F42AC8">
      <w:pPr>
        <w:pBdr>
          <w:bottom w:val="single" w:sz="12" w:space="1" w:color="auto"/>
        </w:pBdr>
        <w:rPr>
          <w:sz w:val="28"/>
          <w:szCs w:val="28"/>
        </w:rPr>
      </w:pPr>
      <w:r w:rsidRPr="005C36C5">
        <w:rPr>
          <w:b/>
          <w:bCs/>
          <w:sz w:val="28"/>
          <w:szCs w:val="28"/>
        </w:rPr>
        <w:t>Evidence</w:t>
      </w:r>
      <w:r w:rsidRPr="007633AE">
        <w:rPr>
          <w:sz w:val="28"/>
          <w:szCs w:val="28"/>
        </w:rPr>
        <w:t>/</w:t>
      </w:r>
      <w:r w:rsidRPr="005C36C5">
        <w:rPr>
          <w:b/>
          <w:bCs/>
          <w:sz w:val="28"/>
          <w:szCs w:val="28"/>
        </w:rPr>
        <w:t>Observation</w:t>
      </w:r>
      <w:r w:rsidRPr="007633AE">
        <w:rPr>
          <w:sz w:val="28"/>
          <w:szCs w:val="28"/>
        </w:rPr>
        <w:t xml:space="preserve">: </w:t>
      </w:r>
      <w:r w:rsidR="00200A3F" w:rsidRPr="007633AE">
        <w:rPr>
          <w:sz w:val="28"/>
          <w:szCs w:val="28"/>
        </w:rPr>
        <w:t xml:space="preserve">shift to the right between week 1 and week </w:t>
      </w:r>
      <w:r w:rsidR="00AC5C7D" w:rsidRPr="007633AE">
        <w:rPr>
          <w:sz w:val="28"/>
          <w:szCs w:val="28"/>
        </w:rPr>
        <w:t>2 and then again between week 2 and week 5.</w:t>
      </w:r>
    </w:p>
    <w:p w14:paraId="61B7EF3F" w14:textId="77777777" w:rsidR="005C36C5" w:rsidRDefault="005C36C5" w:rsidP="00F42AC8">
      <w:pPr>
        <w:pBdr>
          <w:bottom w:val="single" w:sz="12" w:space="1" w:color="auto"/>
        </w:pBdr>
        <w:rPr>
          <w:sz w:val="28"/>
          <w:szCs w:val="28"/>
        </w:rPr>
      </w:pPr>
    </w:p>
    <w:p w14:paraId="1CC2BC51" w14:textId="1316BE74" w:rsidR="00F42AC8" w:rsidRPr="007633AE" w:rsidRDefault="0073087C">
      <w:pPr>
        <w:rPr>
          <w:sz w:val="28"/>
          <w:szCs w:val="28"/>
        </w:rPr>
      </w:pPr>
      <w:r w:rsidRPr="007633AE">
        <w:rPr>
          <w:noProof/>
          <w:sz w:val="28"/>
          <w:szCs w:val="28"/>
        </w:rPr>
        <w:drawing>
          <wp:inline distT="0" distB="0" distL="0" distR="0" wp14:anchorId="6A9513D2" wp14:editId="0397CE44">
            <wp:extent cx="5943600" cy="3343275"/>
            <wp:effectExtent l="0" t="0" r="0"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3343275"/>
                    </a:xfrm>
                    <a:prstGeom prst="rect">
                      <a:avLst/>
                    </a:prstGeom>
                  </pic:spPr>
                </pic:pic>
              </a:graphicData>
            </a:graphic>
          </wp:inline>
        </w:drawing>
      </w:r>
    </w:p>
    <w:p w14:paraId="251BA925" w14:textId="6BB5C7D4" w:rsidR="00F42AC8" w:rsidRPr="007633AE" w:rsidRDefault="00F42AC8" w:rsidP="00F42AC8">
      <w:pPr>
        <w:rPr>
          <w:sz w:val="28"/>
          <w:szCs w:val="28"/>
        </w:rPr>
      </w:pPr>
      <w:r w:rsidRPr="005C36C5">
        <w:rPr>
          <w:b/>
          <w:bCs/>
          <w:sz w:val="28"/>
          <w:szCs w:val="28"/>
        </w:rPr>
        <w:t>Takeaway</w:t>
      </w:r>
      <w:r w:rsidRPr="007633AE">
        <w:rPr>
          <w:sz w:val="28"/>
          <w:szCs w:val="28"/>
        </w:rPr>
        <w:t xml:space="preserve">: </w:t>
      </w:r>
      <w:r w:rsidR="0073087C" w:rsidRPr="007633AE">
        <w:rPr>
          <w:sz w:val="28"/>
          <w:szCs w:val="28"/>
        </w:rPr>
        <w:t xml:space="preserve">possibly a small </w:t>
      </w:r>
      <w:r w:rsidR="005B5E52" w:rsidRPr="007633AE">
        <w:rPr>
          <w:sz w:val="28"/>
          <w:szCs w:val="28"/>
        </w:rPr>
        <w:t>shift to show acclimation; however, happened slowly.</w:t>
      </w:r>
    </w:p>
    <w:p w14:paraId="3134B71A" w14:textId="68621DA6" w:rsidR="00F42AC8" w:rsidRDefault="00F42AC8" w:rsidP="00F42AC8">
      <w:pPr>
        <w:pBdr>
          <w:bottom w:val="single" w:sz="12" w:space="1" w:color="auto"/>
        </w:pBdr>
        <w:rPr>
          <w:sz w:val="28"/>
          <w:szCs w:val="28"/>
        </w:rPr>
      </w:pPr>
      <w:r w:rsidRPr="005C36C5">
        <w:rPr>
          <w:b/>
          <w:bCs/>
          <w:sz w:val="28"/>
          <w:szCs w:val="28"/>
        </w:rPr>
        <w:t>Evidence</w:t>
      </w:r>
      <w:r w:rsidRPr="007633AE">
        <w:rPr>
          <w:sz w:val="28"/>
          <w:szCs w:val="28"/>
        </w:rPr>
        <w:t>/</w:t>
      </w:r>
      <w:r w:rsidRPr="005C36C5">
        <w:rPr>
          <w:b/>
          <w:bCs/>
          <w:sz w:val="28"/>
          <w:szCs w:val="28"/>
        </w:rPr>
        <w:t>Observation</w:t>
      </w:r>
      <w:r w:rsidRPr="007633AE">
        <w:rPr>
          <w:sz w:val="28"/>
          <w:szCs w:val="28"/>
        </w:rPr>
        <w:t xml:space="preserve">: </w:t>
      </w:r>
      <w:r w:rsidR="0073087C" w:rsidRPr="007633AE">
        <w:rPr>
          <w:sz w:val="28"/>
          <w:szCs w:val="28"/>
        </w:rPr>
        <w:t>minimal shift to the right in the last week.</w:t>
      </w:r>
    </w:p>
    <w:p w14:paraId="17185A60" w14:textId="77777777" w:rsidR="005C36C5" w:rsidRDefault="005C36C5" w:rsidP="00F42AC8">
      <w:pPr>
        <w:pBdr>
          <w:bottom w:val="single" w:sz="12" w:space="1" w:color="auto"/>
        </w:pBdr>
        <w:rPr>
          <w:sz w:val="28"/>
          <w:szCs w:val="28"/>
        </w:rPr>
      </w:pPr>
    </w:p>
    <w:p w14:paraId="696728F6" w14:textId="738DBC64" w:rsidR="00F42AC8" w:rsidRPr="007633AE" w:rsidRDefault="005B5E52">
      <w:pPr>
        <w:rPr>
          <w:sz w:val="28"/>
          <w:szCs w:val="28"/>
        </w:rPr>
      </w:pPr>
      <w:r w:rsidRPr="007633AE">
        <w:rPr>
          <w:noProof/>
          <w:sz w:val="28"/>
          <w:szCs w:val="28"/>
        </w:rPr>
        <w:lastRenderedPageBreak/>
        <w:drawing>
          <wp:inline distT="0" distB="0" distL="0" distR="0" wp14:anchorId="1F814696" wp14:editId="4905AE56">
            <wp:extent cx="5943600" cy="3343275"/>
            <wp:effectExtent l="0" t="0" r="0" b="952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3343275"/>
                    </a:xfrm>
                    <a:prstGeom prst="rect">
                      <a:avLst/>
                    </a:prstGeom>
                  </pic:spPr>
                </pic:pic>
              </a:graphicData>
            </a:graphic>
          </wp:inline>
        </w:drawing>
      </w:r>
    </w:p>
    <w:p w14:paraId="15F90D05" w14:textId="62CE649E" w:rsidR="00F42AC8" w:rsidRPr="007633AE" w:rsidRDefault="00F42AC8" w:rsidP="00F42AC8">
      <w:pPr>
        <w:rPr>
          <w:sz w:val="28"/>
          <w:szCs w:val="28"/>
        </w:rPr>
      </w:pPr>
      <w:r w:rsidRPr="005C36C5">
        <w:rPr>
          <w:b/>
          <w:bCs/>
          <w:sz w:val="28"/>
          <w:szCs w:val="28"/>
        </w:rPr>
        <w:t>Takeaway</w:t>
      </w:r>
      <w:r w:rsidRPr="007633AE">
        <w:rPr>
          <w:sz w:val="28"/>
          <w:szCs w:val="28"/>
        </w:rPr>
        <w:t xml:space="preserve">: </w:t>
      </w:r>
      <w:r w:rsidR="00695473" w:rsidRPr="007633AE">
        <w:rPr>
          <w:sz w:val="28"/>
          <w:szCs w:val="28"/>
        </w:rPr>
        <w:t>small shift in growth acclimation, however, happened quickly.</w:t>
      </w:r>
    </w:p>
    <w:p w14:paraId="0E75319E" w14:textId="1C4FCC06" w:rsidR="00F42AC8" w:rsidRDefault="00F42AC8" w:rsidP="00F42AC8">
      <w:pPr>
        <w:pBdr>
          <w:bottom w:val="single" w:sz="12" w:space="1" w:color="auto"/>
        </w:pBdr>
        <w:rPr>
          <w:sz w:val="28"/>
          <w:szCs w:val="28"/>
        </w:rPr>
      </w:pPr>
      <w:r w:rsidRPr="005C36C5">
        <w:rPr>
          <w:b/>
          <w:bCs/>
          <w:sz w:val="28"/>
          <w:szCs w:val="28"/>
        </w:rPr>
        <w:t>Evidence</w:t>
      </w:r>
      <w:r w:rsidRPr="007633AE">
        <w:rPr>
          <w:sz w:val="28"/>
          <w:szCs w:val="28"/>
        </w:rPr>
        <w:t>/</w:t>
      </w:r>
      <w:r w:rsidRPr="005C36C5">
        <w:rPr>
          <w:b/>
          <w:bCs/>
          <w:sz w:val="28"/>
          <w:szCs w:val="28"/>
        </w:rPr>
        <w:t>Observation</w:t>
      </w:r>
      <w:r w:rsidRPr="007633AE">
        <w:rPr>
          <w:sz w:val="28"/>
          <w:szCs w:val="28"/>
        </w:rPr>
        <w:t xml:space="preserve">: </w:t>
      </w:r>
      <w:r w:rsidR="00695473" w:rsidRPr="007633AE">
        <w:rPr>
          <w:sz w:val="28"/>
          <w:szCs w:val="28"/>
        </w:rPr>
        <w:t>shift in growth rate between week 1 and week 2 that was small. No shift between week 2 and week 5</w:t>
      </w:r>
    </w:p>
    <w:p w14:paraId="3C52D008" w14:textId="77777777" w:rsidR="005C36C5" w:rsidRDefault="005C36C5" w:rsidP="00F42AC8">
      <w:pPr>
        <w:pBdr>
          <w:bottom w:val="single" w:sz="12" w:space="1" w:color="auto"/>
        </w:pBdr>
        <w:rPr>
          <w:sz w:val="28"/>
          <w:szCs w:val="28"/>
        </w:rPr>
      </w:pPr>
    </w:p>
    <w:p w14:paraId="7EECA364" w14:textId="584EF830" w:rsidR="00F42AC8" w:rsidRPr="007633AE" w:rsidRDefault="001A6829">
      <w:pPr>
        <w:rPr>
          <w:sz w:val="28"/>
          <w:szCs w:val="28"/>
        </w:rPr>
      </w:pPr>
      <w:r w:rsidRPr="007633AE">
        <w:rPr>
          <w:noProof/>
          <w:sz w:val="28"/>
          <w:szCs w:val="28"/>
        </w:rPr>
        <w:drawing>
          <wp:inline distT="0" distB="0" distL="0" distR="0" wp14:anchorId="68943748" wp14:editId="39974C2F">
            <wp:extent cx="5943600" cy="3343275"/>
            <wp:effectExtent l="0" t="0" r="0" b="952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3343275"/>
                    </a:xfrm>
                    <a:prstGeom prst="rect">
                      <a:avLst/>
                    </a:prstGeom>
                  </pic:spPr>
                </pic:pic>
              </a:graphicData>
            </a:graphic>
          </wp:inline>
        </w:drawing>
      </w:r>
    </w:p>
    <w:p w14:paraId="204B6021" w14:textId="17DBFEB1" w:rsidR="00F42AC8" w:rsidRPr="007633AE" w:rsidRDefault="00F42AC8" w:rsidP="00F42AC8">
      <w:pPr>
        <w:rPr>
          <w:sz w:val="28"/>
          <w:szCs w:val="28"/>
        </w:rPr>
      </w:pPr>
      <w:r w:rsidRPr="005C36C5">
        <w:rPr>
          <w:b/>
          <w:bCs/>
          <w:sz w:val="28"/>
          <w:szCs w:val="28"/>
        </w:rPr>
        <w:t>Takeaway</w:t>
      </w:r>
      <w:r w:rsidRPr="007633AE">
        <w:rPr>
          <w:sz w:val="28"/>
          <w:szCs w:val="28"/>
        </w:rPr>
        <w:t xml:space="preserve">: </w:t>
      </w:r>
      <w:r w:rsidR="00AB4E4F" w:rsidRPr="007633AE">
        <w:rPr>
          <w:sz w:val="28"/>
          <w:szCs w:val="28"/>
        </w:rPr>
        <w:t>very large acclimation potential for growth rates, and further, acclimation occurs quickly.</w:t>
      </w:r>
    </w:p>
    <w:p w14:paraId="06B398CD" w14:textId="5003922E" w:rsidR="00F42AC8" w:rsidRDefault="00F42AC8" w:rsidP="00F42AC8">
      <w:pPr>
        <w:rPr>
          <w:sz w:val="28"/>
          <w:szCs w:val="28"/>
        </w:rPr>
      </w:pPr>
      <w:r w:rsidRPr="005C36C5">
        <w:rPr>
          <w:b/>
          <w:bCs/>
          <w:sz w:val="28"/>
          <w:szCs w:val="28"/>
        </w:rPr>
        <w:lastRenderedPageBreak/>
        <w:t>Evidence</w:t>
      </w:r>
      <w:r w:rsidRPr="007633AE">
        <w:rPr>
          <w:sz w:val="28"/>
          <w:szCs w:val="28"/>
        </w:rPr>
        <w:t>/</w:t>
      </w:r>
      <w:r w:rsidRPr="005C36C5">
        <w:rPr>
          <w:b/>
          <w:bCs/>
          <w:sz w:val="28"/>
          <w:szCs w:val="28"/>
        </w:rPr>
        <w:t>Observation</w:t>
      </w:r>
      <w:r w:rsidRPr="007633AE">
        <w:rPr>
          <w:sz w:val="28"/>
          <w:szCs w:val="28"/>
        </w:rPr>
        <w:t xml:space="preserve">: </w:t>
      </w:r>
      <w:r w:rsidR="001A6829" w:rsidRPr="007633AE">
        <w:rPr>
          <w:sz w:val="28"/>
          <w:szCs w:val="28"/>
        </w:rPr>
        <w:t>Large shift in growth between week 1 and week 2 and then negligible growth rate change between week 2 and week 5.</w:t>
      </w:r>
    </w:p>
    <w:p w14:paraId="340BCF4B" w14:textId="77777777" w:rsidR="005C36C5" w:rsidRDefault="005C36C5" w:rsidP="00F42AC8">
      <w:pPr>
        <w:rPr>
          <w:sz w:val="28"/>
          <w:szCs w:val="28"/>
        </w:rPr>
      </w:pPr>
    </w:p>
    <w:p w14:paraId="73040841" w14:textId="14714F9D" w:rsidR="00AB4E4F" w:rsidRPr="007633AE" w:rsidRDefault="002C7A76" w:rsidP="005C36C5">
      <w:pPr>
        <w:pBdr>
          <w:top w:val="single" w:sz="12" w:space="1" w:color="auto"/>
          <w:bottom w:val="single" w:sz="12" w:space="1" w:color="auto"/>
        </w:pBdr>
        <w:jc w:val="center"/>
        <w:rPr>
          <w:sz w:val="28"/>
          <w:szCs w:val="28"/>
        </w:rPr>
      </w:pPr>
      <w:r w:rsidRPr="005C36C5">
        <w:rPr>
          <w:sz w:val="40"/>
          <w:szCs w:val="40"/>
        </w:rPr>
        <w:t xml:space="preserve">Next: I decided to look at these patterns and see how they align with changing TA or </w:t>
      </w:r>
      <w:r w:rsidR="005C36C5">
        <w:rPr>
          <w:sz w:val="40"/>
          <w:szCs w:val="40"/>
        </w:rPr>
        <w:t>S conditions.</w:t>
      </w:r>
      <w:r w:rsidRPr="005C36C5">
        <w:rPr>
          <w:sz w:val="40"/>
          <w:szCs w:val="40"/>
        </w:rPr>
        <w:t xml:space="preserve"> </w:t>
      </w:r>
      <w:r w:rsidRPr="007633AE">
        <w:rPr>
          <w:noProof/>
          <w:sz w:val="28"/>
          <w:szCs w:val="28"/>
        </w:rPr>
        <w:drawing>
          <wp:inline distT="0" distB="0" distL="0" distR="0" wp14:anchorId="6BC3825C" wp14:editId="5E13FC51">
            <wp:extent cx="4938395" cy="2452523"/>
            <wp:effectExtent l="0" t="0" r="0" b="508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96DAC541-7B7A-43D3-8B79-37D633B846F1}">
                          <asvg:svgBlip xmlns:asvg="http://schemas.microsoft.com/office/drawing/2016/SVG/main" r:embed="rId30"/>
                        </a:ext>
                      </a:extLst>
                    </a:blip>
                    <a:srcRect l="6570" t="9260" r="10336" b="17379"/>
                    <a:stretch/>
                  </pic:blipFill>
                  <pic:spPr bwMode="auto">
                    <a:xfrm>
                      <a:off x="0" y="0"/>
                      <a:ext cx="4938690" cy="2452669"/>
                    </a:xfrm>
                    <a:prstGeom prst="rect">
                      <a:avLst/>
                    </a:prstGeom>
                    <a:ln>
                      <a:noFill/>
                    </a:ln>
                    <a:extLst>
                      <a:ext uri="{53640926-AAD7-44D8-BBD7-CCE9431645EC}">
                        <a14:shadowObscured xmlns:a14="http://schemas.microsoft.com/office/drawing/2010/main"/>
                      </a:ext>
                    </a:extLst>
                  </pic:spPr>
                </pic:pic>
              </a:graphicData>
            </a:graphic>
          </wp:inline>
        </w:drawing>
      </w:r>
    </w:p>
    <w:p w14:paraId="1E3433D8" w14:textId="77777777" w:rsidR="003753F1" w:rsidRPr="007633AE" w:rsidRDefault="00CB774B" w:rsidP="00DD1406">
      <w:pPr>
        <w:rPr>
          <w:sz w:val="28"/>
          <w:szCs w:val="28"/>
        </w:rPr>
      </w:pPr>
      <w:r w:rsidRPr="007633AE">
        <w:rPr>
          <w:noProof/>
          <w:sz w:val="28"/>
          <w:szCs w:val="28"/>
        </w:rPr>
        <w:drawing>
          <wp:inline distT="0" distB="0" distL="0" distR="0" wp14:anchorId="6DC95341" wp14:editId="11F06F03">
            <wp:extent cx="4424363" cy="2766695"/>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l="13863" t="8833" r="11691" b="8404"/>
                    <a:stretch/>
                  </pic:blipFill>
                  <pic:spPr bwMode="auto">
                    <a:xfrm>
                      <a:off x="0" y="0"/>
                      <a:ext cx="4424822" cy="2766982"/>
                    </a:xfrm>
                    <a:prstGeom prst="rect">
                      <a:avLst/>
                    </a:prstGeom>
                    <a:ln>
                      <a:noFill/>
                    </a:ln>
                    <a:extLst>
                      <a:ext uri="{53640926-AAD7-44D8-BBD7-CCE9431645EC}">
                        <a14:shadowObscured xmlns:a14="http://schemas.microsoft.com/office/drawing/2010/main"/>
                      </a:ext>
                    </a:extLst>
                  </pic:spPr>
                </pic:pic>
              </a:graphicData>
            </a:graphic>
          </wp:inline>
        </w:drawing>
      </w:r>
    </w:p>
    <w:p w14:paraId="4659C6B3" w14:textId="722130AB" w:rsidR="00DC20E0" w:rsidRPr="005C36C5" w:rsidRDefault="00DD1406" w:rsidP="00DD1406">
      <w:pPr>
        <w:rPr>
          <w:b/>
          <w:bCs/>
          <w:sz w:val="28"/>
          <w:szCs w:val="28"/>
        </w:rPr>
      </w:pPr>
      <w:r w:rsidRPr="005C36C5">
        <w:rPr>
          <w:b/>
          <w:bCs/>
          <w:sz w:val="28"/>
          <w:szCs w:val="28"/>
        </w:rPr>
        <w:t>Takeaway</w:t>
      </w:r>
      <w:r w:rsidR="005C36C5">
        <w:rPr>
          <w:b/>
          <w:bCs/>
          <w:sz w:val="28"/>
          <w:szCs w:val="28"/>
        </w:rPr>
        <w:t>s</w:t>
      </w:r>
      <w:r w:rsidRPr="005C36C5">
        <w:rPr>
          <w:b/>
          <w:bCs/>
          <w:sz w:val="28"/>
          <w:szCs w:val="28"/>
        </w:rPr>
        <w:t xml:space="preserve">: </w:t>
      </w:r>
    </w:p>
    <w:p w14:paraId="57F85CDE" w14:textId="77777777" w:rsidR="00DC20E0" w:rsidRPr="007633AE" w:rsidRDefault="006475F2" w:rsidP="00DC20E0">
      <w:pPr>
        <w:pStyle w:val="ListParagraph"/>
        <w:numPr>
          <w:ilvl w:val="0"/>
          <w:numId w:val="1"/>
        </w:numPr>
        <w:rPr>
          <w:sz w:val="28"/>
          <w:szCs w:val="28"/>
        </w:rPr>
      </w:pPr>
      <w:r w:rsidRPr="007633AE">
        <w:rPr>
          <w:sz w:val="28"/>
          <w:szCs w:val="28"/>
        </w:rPr>
        <w:t xml:space="preserve">From our data, </w:t>
      </w:r>
      <w:r w:rsidR="00DD1406" w:rsidRPr="007633AE">
        <w:rPr>
          <w:sz w:val="28"/>
          <w:szCs w:val="28"/>
        </w:rPr>
        <w:t xml:space="preserve">it appears that TA may be a factor for driving large increases in growth (relative to salinity/pH); however, when it comes to acclimation speed, </w:t>
      </w:r>
      <w:r w:rsidRPr="007633AE">
        <w:rPr>
          <w:sz w:val="28"/>
          <w:szCs w:val="28"/>
        </w:rPr>
        <w:t>TA only seems to have an effect when the degree of overall change is small. It is unsurprising that we see increases in TA lead to higher growth ratios over time</w:t>
      </w:r>
      <w:r w:rsidR="0054707C" w:rsidRPr="007633AE">
        <w:rPr>
          <w:sz w:val="28"/>
          <w:szCs w:val="28"/>
        </w:rPr>
        <w:t xml:space="preserve"> d</w:t>
      </w:r>
      <w:r w:rsidR="0054707C" w:rsidRPr="007633AE">
        <w:rPr>
          <w:sz w:val="28"/>
          <w:szCs w:val="28"/>
        </w:rPr>
        <w:t>ue to HCO3- being used as a substrate, a higher concentration of bicarbonate may elevate the</w:t>
      </w:r>
      <w:r w:rsidR="0054707C" w:rsidRPr="007633AE">
        <w:rPr>
          <w:sz w:val="28"/>
          <w:szCs w:val="28"/>
        </w:rPr>
        <w:t xml:space="preserve"> individual</w:t>
      </w:r>
      <w:r w:rsidR="0054707C" w:rsidRPr="007633AE">
        <w:rPr>
          <w:sz w:val="28"/>
          <w:szCs w:val="28"/>
        </w:rPr>
        <w:t xml:space="preserve"> growth rates</w:t>
      </w:r>
      <w:r w:rsidR="0054707C" w:rsidRPr="007633AE">
        <w:rPr>
          <w:sz w:val="28"/>
          <w:szCs w:val="28"/>
        </w:rPr>
        <w:t xml:space="preserve"> in treatments with high TA concentrations</w:t>
      </w:r>
      <w:r w:rsidRPr="007633AE">
        <w:rPr>
          <w:sz w:val="28"/>
          <w:szCs w:val="28"/>
        </w:rPr>
        <w:t>.</w:t>
      </w:r>
    </w:p>
    <w:p w14:paraId="74283475" w14:textId="6E0F9E6A" w:rsidR="00DC20E0" w:rsidRPr="007633AE" w:rsidRDefault="0096312F" w:rsidP="00DC20E0">
      <w:pPr>
        <w:pStyle w:val="ListParagraph"/>
        <w:numPr>
          <w:ilvl w:val="0"/>
          <w:numId w:val="1"/>
        </w:numPr>
        <w:rPr>
          <w:sz w:val="28"/>
          <w:szCs w:val="28"/>
        </w:rPr>
      </w:pPr>
      <w:r w:rsidRPr="007633AE">
        <w:rPr>
          <w:sz w:val="28"/>
          <w:szCs w:val="28"/>
        </w:rPr>
        <w:lastRenderedPageBreak/>
        <w:t xml:space="preserve">However, it is interesting that TA only seems to </w:t>
      </w:r>
      <w:r w:rsidR="00C36F11" w:rsidRPr="007633AE">
        <w:rPr>
          <w:sz w:val="28"/>
          <w:szCs w:val="28"/>
        </w:rPr>
        <w:t>be related to</w:t>
      </w:r>
      <w:r w:rsidRPr="007633AE">
        <w:rPr>
          <w:sz w:val="28"/>
          <w:szCs w:val="28"/>
        </w:rPr>
        <w:t xml:space="preserve"> acclimation speeds in </w:t>
      </w:r>
      <w:r w:rsidR="00C36F11" w:rsidRPr="007633AE">
        <w:rPr>
          <w:sz w:val="28"/>
          <w:szCs w:val="28"/>
        </w:rPr>
        <w:t>scenarios with smaller acclimation shift distances.</w:t>
      </w:r>
      <w:r w:rsidR="00175923" w:rsidRPr="007633AE">
        <w:rPr>
          <w:sz w:val="28"/>
          <w:szCs w:val="28"/>
        </w:rPr>
        <w:t xml:space="preserve"> I</w:t>
      </w:r>
      <w:r w:rsidR="009F5EB5" w:rsidRPr="007633AE">
        <w:rPr>
          <w:sz w:val="28"/>
          <w:szCs w:val="28"/>
        </w:rPr>
        <w:t>ndividuals exposed to ambient TA concentrations</w:t>
      </w:r>
      <w:r w:rsidR="00175923" w:rsidRPr="007633AE">
        <w:rPr>
          <w:sz w:val="28"/>
          <w:szCs w:val="28"/>
        </w:rPr>
        <w:t xml:space="preserve"> were able to acclimate to low sal</w:t>
      </w:r>
      <w:r w:rsidR="00700AA1" w:rsidRPr="007633AE">
        <w:rPr>
          <w:sz w:val="28"/>
          <w:szCs w:val="28"/>
        </w:rPr>
        <w:t>inity</w:t>
      </w:r>
      <w:r w:rsidR="00175923" w:rsidRPr="007633AE">
        <w:rPr>
          <w:sz w:val="28"/>
          <w:szCs w:val="28"/>
        </w:rPr>
        <w:t xml:space="preserve"> conditions and ambient salinity treatments quickly.</w:t>
      </w:r>
      <w:r w:rsidR="00700AA1" w:rsidRPr="007633AE">
        <w:rPr>
          <w:sz w:val="28"/>
          <w:szCs w:val="28"/>
        </w:rPr>
        <w:t xml:space="preserve"> WHY?</w:t>
      </w:r>
      <w:r w:rsidR="00DC20E0" w:rsidRPr="007633AE">
        <w:rPr>
          <w:sz w:val="28"/>
          <w:szCs w:val="28"/>
        </w:rPr>
        <w:t xml:space="preserve"> </w:t>
      </w:r>
    </w:p>
    <w:p w14:paraId="0ECDFE73" w14:textId="0A49E0EB" w:rsidR="002B328C" w:rsidRPr="007633AE" w:rsidRDefault="008755AA" w:rsidP="00DC20E0">
      <w:pPr>
        <w:pStyle w:val="ListParagraph"/>
        <w:numPr>
          <w:ilvl w:val="0"/>
          <w:numId w:val="1"/>
        </w:numPr>
        <w:rPr>
          <w:sz w:val="28"/>
          <w:szCs w:val="28"/>
        </w:rPr>
      </w:pPr>
      <w:r w:rsidRPr="007633AE">
        <w:rPr>
          <w:sz w:val="28"/>
          <w:szCs w:val="28"/>
        </w:rPr>
        <w:t>Under high salinity conditions, we saw general acclimation spee</w:t>
      </w:r>
      <w:r w:rsidR="006C0A7C" w:rsidRPr="007633AE">
        <w:rPr>
          <w:sz w:val="28"/>
          <w:szCs w:val="28"/>
        </w:rPr>
        <w:t>ds that were slower than in those exposed to low salinity</w:t>
      </w:r>
      <w:r w:rsidR="00D56153" w:rsidRPr="007633AE">
        <w:rPr>
          <w:sz w:val="28"/>
          <w:szCs w:val="28"/>
        </w:rPr>
        <w:t>. In fact, groups exposed to low salinity</w:t>
      </w:r>
      <w:r w:rsidR="002B328C" w:rsidRPr="007633AE">
        <w:rPr>
          <w:sz w:val="28"/>
          <w:szCs w:val="28"/>
        </w:rPr>
        <w:t xml:space="preserve"> generally depicted complete acclimation by week 2</w:t>
      </w:r>
      <w:r w:rsidR="009271BC" w:rsidRPr="007633AE">
        <w:rPr>
          <w:sz w:val="28"/>
          <w:szCs w:val="28"/>
        </w:rPr>
        <w:t xml:space="preserve">, whereas </w:t>
      </w:r>
      <w:r w:rsidR="008623A0" w:rsidRPr="007633AE">
        <w:rPr>
          <w:sz w:val="28"/>
          <w:szCs w:val="28"/>
        </w:rPr>
        <w:t>two of the three groups exposed to high S conditions still showed acclimation occurring beyond week 2.</w:t>
      </w:r>
      <w:r w:rsidR="00DC20E0" w:rsidRPr="007633AE">
        <w:rPr>
          <w:sz w:val="28"/>
          <w:szCs w:val="28"/>
        </w:rPr>
        <w:t xml:space="preserve"> WHY?</w:t>
      </w:r>
    </w:p>
    <w:p w14:paraId="22B508B8" w14:textId="1D18B7AA" w:rsidR="00DD1406" w:rsidRPr="007633AE" w:rsidRDefault="00DD1406" w:rsidP="00DC20E0">
      <w:pPr>
        <w:pStyle w:val="ListParagraph"/>
        <w:numPr>
          <w:ilvl w:val="0"/>
          <w:numId w:val="1"/>
        </w:numPr>
        <w:rPr>
          <w:sz w:val="28"/>
          <w:szCs w:val="28"/>
        </w:rPr>
      </w:pPr>
      <w:r w:rsidRPr="007633AE">
        <w:rPr>
          <w:sz w:val="28"/>
          <w:szCs w:val="28"/>
        </w:rPr>
        <w:t xml:space="preserve">although TA drives the degree of growth, individuals exposed to the multitude of stressors demonstrated faster physiological acclimation rates than those exposed to only a </w:t>
      </w:r>
      <w:r w:rsidR="005C36C5" w:rsidRPr="007633AE">
        <w:rPr>
          <w:sz w:val="28"/>
          <w:szCs w:val="28"/>
        </w:rPr>
        <w:t>single axis of stress</w:t>
      </w:r>
      <w:r w:rsidRPr="007633AE">
        <w:rPr>
          <w:sz w:val="28"/>
          <w:szCs w:val="28"/>
        </w:rPr>
        <w:t xml:space="preserve">. </w:t>
      </w:r>
      <w:r w:rsidR="002B328C" w:rsidRPr="007633AE">
        <w:rPr>
          <w:sz w:val="28"/>
          <w:szCs w:val="28"/>
        </w:rPr>
        <w:t>WHY?</w:t>
      </w:r>
    </w:p>
    <w:p w14:paraId="6C10AE3E" w14:textId="29DFFD87" w:rsidR="00DD1406" w:rsidRDefault="00B35669" w:rsidP="00B15248">
      <w:pPr>
        <w:pStyle w:val="ListParagraph"/>
        <w:numPr>
          <w:ilvl w:val="0"/>
          <w:numId w:val="1"/>
        </w:numPr>
        <w:pBdr>
          <w:bottom w:val="single" w:sz="12" w:space="1" w:color="auto"/>
        </w:pBdr>
        <w:rPr>
          <w:sz w:val="28"/>
          <w:szCs w:val="28"/>
        </w:rPr>
      </w:pPr>
      <w:r w:rsidRPr="007633AE">
        <w:rPr>
          <w:sz w:val="28"/>
          <w:szCs w:val="28"/>
        </w:rPr>
        <w:t xml:space="preserve">Individuals in low TA are slow to acclimate to either S condition; </w:t>
      </w:r>
      <w:r w:rsidRPr="007633AE">
        <w:rPr>
          <w:sz w:val="28"/>
          <w:szCs w:val="28"/>
        </w:rPr>
        <w:t>suggests that low TA may</w:t>
      </w:r>
      <w:r w:rsidR="00DE1E58" w:rsidRPr="007633AE">
        <w:rPr>
          <w:sz w:val="28"/>
          <w:szCs w:val="28"/>
        </w:rPr>
        <w:t xml:space="preserve"> disrupt salinity acclimation pathways </w:t>
      </w:r>
    </w:p>
    <w:p w14:paraId="110DE6CF" w14:textId="77777777" w:rsidR="00546ACB" w:rsidRPr="00546ACB" w:rsidRDefault="00546ACB" w:rsidP="00546ACB">
      <w:pPr>
        <w:pBdr>
          <w:bottom w:val="single" w:sz="12" w:space="1" w:color="auto"/>
        </w:pBdr>
        <w:ind w:left="360"/>
        <w:rPr>
          <w:sz w:val="28"/>
          <w:szCs w:val="28"/>
        </w:rPr>
      </w:pPr>
    </w:p>
    <w:sectPr w:rsidR="00546ACB" w:rsidRPr="00546ACB" w:rsidSect="00C21C0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881A03"/>
    <w:multiLevelType w:val="hybridMultilevel"/>
    <w:tmpl w:val="C2F248E8"/>
    <w:lvl w:ilvl="0" w:tplc="4262F8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16335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DC5"/>
    <w:rsid w:val="00175752"/>
    <w:rsid w:val="00175923"/>
    <w:rsid w:val="001A6829"/>
    <w:rsid w:val="00200A3F"/>
    <w:rsid w:val="002660B5"/>
    <w:rsid w:val="002B328C"/>
    <w:rsid w:val="002C7A76"/>
    <w:rsid w:val="003753F1"/>
    <w:rsid w:val="00385475"/>
    <w:rsid w:val="003952A0"/>
    <w:rsid w:val="003C1871"/>
    <w:rsid w:val="0042184F"/>
    <w:rsid w:val="00486CDE"/>
    <w:rsid w:val="004E4DC5"/>
    <w:rsid w:val="00546ACB"/>
    <w:rsid w:val="0054707C"/>
    <w:rsid w:val="005A6723"/>
    <w:rsid w:val="005B5E52"/>
    <w:rsid w:val="005C36C5"/>
    <w:rsid w:val="00613D14"/>
    <w:rsid w:val="006475F2"/>
    <w:rsid w:val="00695473"/>
    <w:rsid w:val="006A1CD5"/>
    <w:rsid w:val="006B35AA"/>
    <w:rsid w:val="006C0A7C"/>
    <w:rsid w:val="00700AA1"/>
    <w:rsid w:val="0073087C"/>
    <w:rsid w:val="007633AE"/>
    <w:rsid w:val="008623A0"/>
    <w:rsid w:val="008755AA"/>
    <w:rsid w:val="009271BC"/>
    <w:rsid w:val="0096312F"/>
    <w:rsid w:val="009A3F55"/>
    <w:rsid w:val="009F5EB5"/>
    <w:rsid w:val="00AA5177"/>
    <w:rsid w:val="00AB4E4F"/>
    <w:rsid w:val="00AC5C7D"/>
    <w:rsid w:val="00B2454D"/>
    <w:rsid w:val="00B35669"/>
    <w:rsid w:val="00C21C0A"/>
    <w:rsid w:val="00C36F11"/>
    <w:rsid w:val="00C476CD"/>
    <w:rsid w:val="00CB774B"/>
    <w:rsid w:val="00D27E58"/>
    <w:rsid w:val="00D56153"/>
    <w:rsid w:val="00DA67D9"/>
    <w:rsid w:val="00DC20E0"/>
    <w:rsid w:val="00DD1406"/>
    <w:rsid w:val="00DE1E58"/>
    <w:rsid w:val="00EF6548"/>
    <w:rsid w:val="00F11410"/>
    <w:rsid w:val="00F42AC8"/>
    <w:rsid w:val="00FC2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13E0F"/>
  <w15:chartTrackingRefBased/>
  <w15:docId w15:val="{57EA3370-6E85-4BB1-85FB-3C7CC40A4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20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294109">
      <w:bodyDiv w:val="1"/>
      <w:marLeft w:val="0"/>
      <w:marRight w:val="0"/>
      <w:marTop w:val="0"/>
      <w:marBottom w:val="0"/>
      <w:divBdr>
        <w:top w:val="none" w:sz="0" w:space="0" w:color="auto"/>
        <w:left w:val="none" w:sz="0" w:space="0" w:color="auto"/>
        <w:bottom w:val="none" w:sz="0" w:space="0" w:color="auto"/>
        <w:right w:val="none" w:sz="0" w:space="0" w:color="auto"/>
      </w:divBdr>
    </w:div>
    <w:div w:id="2147043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8" Type="http://schemas.openxmlformats.org/officeDocument/2006/relationships/image" Target="media/image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9</Pages>
  <Words>958</Words>
  <Characters>5462</Characters>
  <Application>Microsoft Office Word</Application>
  <DocSecurity>0</DocSecurity>
  <Lines>45</Lines>
  <Paragraphs>12</Paragraphs>
  <ScaleCrop>false</ScaleCrop>
  <Company/>
  <LinksUpToDate>false</LinksUpToDate>
  <CharactersWithSpaces>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 saley</dc:creator>
  <cp:keywords/>
  <dc:description/>
  <cp:lastModifiedBy>alisha saley</cp:lastModifiedBy>
  <cp:revision>50</cp:revision>
  <dcterms:created xsi:type="dcterms:W3CDTF">2023-05-20T11:49:00Z</dcterms:created>
  <dcterms:modified xsi:type="dcterms:W3CDTF">2023-05-20T12:30:00Z</dcterms:modified>
</cp:coreProperties>
</file>